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第三部分 成员及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/>
        </w:rPr>
        <w:t>积分制度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  <w:t>创客空间的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实行成员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  <w:t>积分制度，通过积分的方式加强对创客空间人员科学化的考核测评。以此来维持创客空间科学高效地运作。现结合实际，特制定如下细则: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第十条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  <w:t>基本原则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  <w:t>1.将贡献惩罚量化，以积分为依据，奖罚分明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  <w:t>2.坚持客观公正，民主公开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/>
        </w:rPr>
        <w:t>3.过程结果公开监督，奖惩严格兑现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6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6"/>
          <w:sz w:val="28"/>
          <w:szCs w:val="28"/>
          <w:shd w:val="clear" w:color="auto" w:fill="FFFFFF"/>
          <w:lang w:val="en-US" w:eastAsia="zh-CN"/>
        </w:rPr>
        <w:t>第十一条 管理方式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6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6"/>
          <w:sz w:val="28"/>
          <w:szCs w:val="28"/>
          <w:shd w:val="clear" w:color="auto" w:fill="FFFFFF"/>
          <w:lang w:val="en-US" w:eastAsia="zh-CN"/>
        </w:rPr>
        <w:t>（一）基础积分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基础积分是考核测评研究院成员的出勤率、贡献率的标准。每位成员每月基础积分需达100，基础积分下月可累积使用。连续三月未达标准者将自动视为离开研究院，当研究院成员签署实验室常驻表成为实验管理员后，每学期末基础积分的10%可以转换为兑换积分。</w:t>
      </w:r>
    </w:p>
    <w:tbl>
      <w:tblPr>
        <w:tblStyle w:val="3"/>
        <w:tblpPr w:leftFromText="180" w:rightFromText="180" w:vertAnchor="text" w:horzAnchor="page" w:tblpX="1800" w:tblpY="249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5086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86" w:type="dxa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积分加减项</w:t>
            </w:r>
          </w:p>
        </w:tc>
        <w:tc>
          <w:tcPr>
            <w:tcW w:w="2504" w:type="dxa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积分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额度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restart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奖励基础积分项目</w:t>
            </w:r>
          </w:p>
        </w:tc>
        <w:tc>
          <w:tcPr>
            <w:tcW w:w="5086" w:type="dxa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签到三次</w:t>
            </w:r>
          </w:p>
        </w:tc>
        <w:tc>
          <w:tcPr>
            <w:tcW w:w="2504" w:type="dxa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+10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在参观中演示作品</w:t>
            </w:r>
          </w:p>
        </w:tc>
        <w:tc>
          <w:tcPr>
            <w:tcW w:w="2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+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院级比赛参与评审、监考</w:t>
            </w:r>
          </w:p>
        </w:tc>
        <w:tc>
          <w:tcPr>
            <w:tcW w:w="2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+10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086" w:type="dxa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为低年级学生培训一次（4小时）</w:t>
            </w:r>
          </w:p>
        </w:tc>
        <w:tc>
          <w:tcPr>
            <w:tcW w:w="2504" w:type="dxa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+50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086" w:type="dxa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带队比赛\带低年级学生做项目</w:t>
            </w:r>
          </w:p>
        </w:tc>
        <w:tc>
          <w:tcPr>
            <w:tcW w:w="2504" w:type="dxa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+50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086" w:type="dxa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个人离开后桌面或位置周围杂乱</w:t>
            </w:r>
          </w:p>
        </w:tc>
        <w:tc>
          <w:tcPr>
            <w:tcW w:w="2504" w:type="dxa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086" w:type="dxa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使用实验室公共器材未归位</w:t>
            </w:r>
          </w:p>
        </w:tc>
        <w:tc>
          <w:tcPr>
            <w:tcW w:w="2504" w:type="dxa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-50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restart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扣除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基础积分项目</w:t>
            </w:r>
          </w:p>
        </w:tc>
        <w:tc>
          <w:tcPr>
            <w:tcW w:w="5086" w:type="dxa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实验室参观个人桌面未进行清理</w:t>
            </w:r>
          </w:p>
        </w:tc>
        <w:tc>
          <w:tcPr>
            <w:tcW w:w="2504" w:type="dxa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-50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50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无故拿走别人物品</w:t>
            </w:r>
          </w:p>
        </w:tc>
        <w:tc>
          <w:tcPr>
            <w:tcW w:w="25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-100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86" w:type="dxa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最后离开未给实验室锁门关灯</w:t>
            </w:r>
          </w:p>
        </w:tc>
        <w:tc>
          <w:tcPr>
            <w:tcW w:w="2504" w:type="dxa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-100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86" w:type="dxa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缺席各类值班、大扫除无故不到</w:t>
            </w:r>
          </w:p>
        </w:tc>
        <w:tc>
          <w:tcPr>
            <w:tcW w:w="2504" w:type="dxa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-100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86" w:type="dxa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其他表现</w:t>
            </w:r>
          </w:p>
        </w:tc>
        <w:tc>
          <w:tcPr>
            <w:tcW w:w="2504" w:type="dxa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主席决定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2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90" w:type="dxa"/>
            <w:gridSpan w:val="2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实验室主席可根据实验室成员日常表现奖励或扣除基础积分，额度可由主席决定，上下限均为每月100基础积分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严禁补签，代签，提前签到。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29" w:type="dxa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590" w:type="dxa"/>
            <w:gridSpan w:val="2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（二）兑换积分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兑换积分作为奖励额度，可用来兑换等金额的实验室器材、办公用品、电子元器件、现金。实验室的兑换积分由实验室主席分配兑换实验室所需焊锡、胶棒、打印纸等实验器材。每次兑换时扣除基础积分达100，不达标者不能兑换。兑换积分可转赠他人，不可买卖积分，违反者积分清零且在不得参与积分制度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（三）实验室积分管理方法                                                                   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每学期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开始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各实验室有100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0兑换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积分，每学期实验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室积分可以累加到下学期，也可当学期全部兑换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。实验室的卫生情况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参观检查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由办公室负责监督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办公室将不定期对实验室进行抽查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不合格、不配合者将扣除积分，当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清理重整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实验室的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扣除积分数达1000时，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实验室进行关闭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</w:p>
    <w:tbl>
      <w:tblPr>
        <w:tblStyle w:val="3"/>
        <w:tblpPr w:leftFromText="180" w:rightFromText="180" w:vertAnchor="text" w:horzAnchor="page" w:tblpX="1815" w:tblpY="351"/>
        <w:tblOverlap w:val="never"/>
        <w:tblW w:w="9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676"/>
        <w:gridCol w:w="7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积分项目</w:t>
            </w: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积分额度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奖励兑换积分项目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初始积分</w:t>
            </w: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实验室培训</w:t>
            </w: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+50（一篇50，以院网站新闻稿数量为标准）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5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实验室参观</w:t>
            </w: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+10（一件展品为10积分，可多件累加，要求能正常演示）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+10（参观时实验室人数达十人以上）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+10（实验室演示者表述清晰，用英语介绍额外加10积分）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组织比赛</w:t>
            </w: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120" w:firstLineChars="4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搭建比赛赛场费用报销（只支持发票）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+10（赛事文件清晰）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+10（评审打分，考场监督，要求尽职尽责、公平公正）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+10（赛后仲裁，如有学生对评分有疑义需及时作出回复）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奖状证明</w:t>
            </w: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根据各实验室的人员获奖状况上报，详情见附件3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日常情况</w:t>
            </w: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+50（实验室卫生良好）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扣除兑换积分项目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卫生检查</w:t>
            </w: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-50办公室不定期检查不合格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未锁门关灯</w:t>
            </w: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-100被学院公示通报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实验室参观</w:t>
            </w: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-100办公室检查指导后仍不合格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老师指出实验室脏乱差</w:t>
            </w:r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-100一天内拒不整改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193"/>
              </w:tabs>
              <w:ind w:firstLine="28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日常情况和卫生检查由办公室两周考核一次，并对应情况奖惩积分</w:t>
            </w:r>
          </w:p>
        </w:tc>
      </w:tr>
    </w:tbl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（四）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研究院成员积分管理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方法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研究院成员的积分分为基础积分和兑换积分，大一每一位新加入研究院的成员会有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0分基础积分，一位成员隶属一个实验室，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每月基础积分未达标准者，将视为自动离开实验室，由实验室主席清理。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实验室主席可根据成员在实验室的表现对成员的基础积分进行加减。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对实验室有贡献者，例如常打扫实验室卫生、编辑实验室新闻稿，实验室主席可将分配一定的实验室兑换积分给实验室成员。</w:t>
      </w:r>
    </w:p>
    <w:p>
      <w:pPr>
        <w:spacing w:line="360" w:lineRule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6"/>
          <w:sz w:val="28"/>
          <w:szCs w:val="28"/>
          <w:shd w:val="clear" w:color="auto" w:fill="FFFFFF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6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6"/>
          <w:sz w:val="28"/>
          <w:szCs w:val="28"/>
          <w:shd w:val="clear" w:color="auto" w:fill="FFFFFF"/>
          <w:lang w:val="en-US" w:eastAsia="zh-CN"/>
        </w:rPr>
        <w:t>第十二条 参与制度说明</w:t>
      </w:r>
    </w:p>
    <w:p>
      <w:pPr>
        <w:spacing w:line="360" w:lineRule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6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6"/>
          <w:sz w:val="28"/>
          <w:szCs w:val="28"/>
          <w:shd w:val="clear" w:color="auto" w:fill="FFFFFF"/>
          <w:lang w:val="en-US" w:eastAsia="zh-CN"/>
        </w:rPr>
        <w:t>1、积分制度仅精英研究院成员有权参与，若参赛队伍人员有非研究院成员时，队长需为研究院成员才可领取积分奖励。</w:t>
      </w:r>
    </w:p>
    <w:p>
      <w:pPr>
        <w:spacing w:line="360" w:lineRule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6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6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研究院成员参加相应的比赛时，必须听从研究院的安排，统一报名、上交材料、参加比赛，禁止私自从比赛官网报名，违规队伍即使获奖也不会获得积分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6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6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6"/>
          <w:sz w:val="28"/>
          <w:szCs w:val="28"/>
          <w:shd w:val="clear" w:color="auto" w:fill="FFFFFF"/>
          <w:lang w:val="en-US" w:eastAsia="zh-CN"/>
        </w:rPr>
        <w:t>第十三条 兑换说明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1、研究院每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四周兑换一次积分，时间为周六下午15:00到18:00。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2、兑换积分的转赠：兑换积分转增，需要转增者和接受者双方签定相应的转赠书并签字按手印，办公室将保存转赠书并对双方积分进行修改。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3、积分兑换方式：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instrText xml:space="preserve"> = 1 \* GB2 \* MERGEFORMAT </w:instrTex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sz w:val="28"/>
          <w:szCs w:val="28"/>
        </w:rPr>
        <w:t>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将积分转现，但只能兑换积分相应数额的百分之八十，例如100个积分只能转现为80。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instrText xml:space="preserve"> = 2 \* GB2 \* MERGEFORMAT </w:instrTex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sz w:val="28"/>
          <w:szCs w:val="28"/>
        </w:rPr>
        <w:t>⑵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研究院成员给办公室秘书部提供淘宝链接，由办公室购买，物品到达后，将会通知购买人员到办公室签字并收取相关物品。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instrText xml:space="preserve"> = 3 \* GB2 \* MERGEFORMAT </w:instrTex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sz w:val="28"/>
          <w:szCs w:val="28"/>
        </w:rPr>
        <w:t>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自己购买所需元器件后，将发票交给办公室，办公室对应发票金额给研究院成员转账；发票的要求：抬头必须是中北大学，商品名称可统一写电子元器件也可具体说明（需是实验器材否则不予报销），一张发票总额不可超过1000元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（4）竞赛类的积分需在可以积分兑换的时间内，持比赛奖状证明到办公室认证无误后，方可加到积分总数内。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（5）上述（2）（3）两条兑换积分时采取四舍五入制，例如购买金钱数或者发票数额为99.6，则扣除积分100，兑换金额为100.4时，扣除积分100.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default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附录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6"/>
          <w:sz w:val="32"/>
          <w:szCs w:val="32"/>
          <w:shd w:val="clear" w:color="auto" w:fill="FFFFFF"/>
          <w:lang w:val="en-US" w:eastAsia="zh-CN"/>
        </w:rPr>
        <w:t>创新精英研究院成员兑换积分加减项目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1、在位职务</w:t>
      </w:r>
    </w:p>
    <w:tbl>
      <w:tblPr>
        <w:tblStyle w:val="3"/>
        <w:tblpPr w:leftFromText="180" w:rightFromText="180" w:vertAnchor="text" w:horzAnchor="page" w:tblpX="1830" w:tblpY="342"/>
        <w:tblOverlap w:val="never"/>
        <w:tblW w:w="8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3" w:type="dxa"/>
          </w:tcPr>
          <w:p>
            <w:pPr>
              <w:numPr>
                <w:ilvl w:val="0"/>
                <w:numId w:val="0"/>
              </w:numPr>
              <w:tabs>
                <w:tab w:val="left" w:pos="1262"/>
              </w:tabs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8"/>
                <w:szCs w:val="28"/>
                <w:vertAlign w:val="baseline"/>
                <w:lang w:val="en-US" w:eastAsia="zh-CN"/>
              </w:rPr>
              <w:t>精英研究院院长</w:t>
            </w:r>
          </w:p>
        </w:tc>
        <w:tc>
          <w:tcPr>
            <w:tcW w:w="276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3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22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精英研究院常务副院长</w:t>
            </w:r>
          </w:p>
        </w:tc>
        <w:tc>
          <w:tcPr>
            <w:tcW w:w="276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3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22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实验室主席及办公室各部门部长</w:t>
            </w:r>
          </w:p>
        </w:tc>
        <w:tc>
          <w:tcPr>
            <w:tcW w:w="276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3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22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实验室副主席及各办公室部门副部长</w:t>
            </w:r>
          </w:p>
        </w:tc>
        <w:tc>
          <w:tcPr>
            <w:tcW w:w="276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3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22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实验室管理员及办公室干事</w:t>
            </w:r>
          </w:p>
        </w:tc>
        <w:tc>
          <w:tcPr>
            <w:tcW w:w="276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注：大一新生不算实验室管理员，签署常驻人员表后为实验室管理员。</w:t>
            </w: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val="en-US" w:eastAsia="zh-CN"/>
        </w:rPr>
        <w:t>2、积极贡献</w:t>
      </w:r>
    </w:p>
    <w:tbl>
      <w:tblPr>
        <w:tblStyle w:val="3"/>
        <w:tblpPr w:leftFromText="180" w:rightFromText="180" w:vertAnchor="text" w:horzAnchor="page" w:tblpX="1654" w:tblpY="590"/>
        <w:tblOverlap w:val="never"/>
        <w:tblW w:w="88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为新生培训</w:t>
            </w:r>
          </w:p>
        </w:tc>
        <w:tc>
          <w:tcPr>
            <w:tcW w:w="46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50（新闻稿上需写明培训人）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参观实验室时演示</w:t>
            </w:r>
          </w:p>
        </w:tc>
        <w:tc>
          <w:tcPr>
            <w:tcW w:w="46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10（英语介绍额外加10积分）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参与实验室公用展品制作</w:t>
            </w:r>
          </w:p>
        </w:tc>
        <w:tc>
          <w:tcPr>
            <w:tcW w:w="46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50（展品需为实验室所有，非个人）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</w:tcPr>
          <w:p>
            <w:pPr>
              <w:numPr>
                <w:ilvl w:val="0"/>
                <w:numId w:val="0"/>
              </w:numPr>
              <w:ind w:firstLine="1680" w:firstLineChars="60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组织</w:t>
            </w:r>
          </w:p>
          <w:p>
            <w:pPr>
              <w:numPr>
                <w:ilvl w:val="0"/>
                <w:numId w:val="0"/>
              </w:numPr>
              <w:ind w:firstLine="1680" w:firstLineChars="60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比赛</w:t>
            </w:r>
          </w:p>
        </w:tc>
        <w:tc>
          <w:tcPr>
            <w:tcW w:w="46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10（参与搭建比赛场地）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00" w:type="dxa"/>
          </w:tcPr>
          <w:p>
            <w:pPr>
              <w:numPr>
                <w:ilvl w:val="0"/>
                <w:numId w:val="0"/>
              </w:numPr>
              <w:ind w:firstLine="840" w:firstLineChars="30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10（参与监考，评审）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1" w:type="dxa"/>
            <w:gridSpan w:val="2"/>
          </w:tcPr>
          <w:p>
            <w:pPr>
              <w:numPr>
                <w:ilvl w:val="0"/>
                <w:numId w:val="0"/>
              </w:numPr>
              <w:ind w:firstLine="280" w:firstLineChars="10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注：每次培训、参观、比赛后请及时上报参与人员名单，事后补报无效。若虚报人员名单查实后相关负责人-100兑换积分。</w:t>
            </w: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val="en-US" w:eastAsia="zh-CN"/>
        </w:rPr>
        <w:t>各类比赛兑换积分</w:t>
      </w:r>
    </w:p>
    <w:p>
      <w:pPr>
        <w:spacing w:line="220" w:lineRule="atLeast"/>
        <w:ind w:firstLine="280" w:firstLineChars="100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以中国高等教育学会高校学科竞赛排行榜对比赛的分类为基础，结合我院专业培养方向，把创新精英研究院支助的比赛分为以下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三类:</w:t>
      </w:r>
    </w:p>
    <w:tbl>
      <w:tblPr>
        <w:tblStyle w:val="3"/>
        <w:tblpPr w:leftFromText="180" w:rightFromText="180" w:vertAnchor="text" w:horzAnchor="page" w:tblpX="1675" w:tblpY="910"/>
        <w:tblOverlap w:val="never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5130"/>
        <w:gridCol w:w="135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30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比赛项目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奖项等级</w:t>
            </w:r>
          </w:p>
        </w:tc>
        <w:tc>
          <w:tcPr>
            <w:tcW w:w="19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积分奖励</w:t>
            </w:r>
          </w:p>
        </w:tc>
      </w:tr>
    </w:tbl>
    <w:p>
      <w:pPr>
        <w:spacing w:line="220" w:lineRule="atLeast"/>
        <w:ind w:firstLine="643" w:firstLineChars="200"/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A类赛事：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纳入竞赛排行榜的竞赛</w:t>
      </w:r>
      <w:r>
        <w:rPr>
          <w:rFonts w:hint="eastAsia" w:asciiTheme="majorEastAsia" w:hAnsiTheme="majorEastAsia" w:eastAsiaTheme="majorEastAsia" w:cstheme="majorEastAsia"/>
          <w:b/>
          <w:color w:val="auto"/>
          <w:sz w:val="32"/>
          <w:szCs w:val="32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675" w:tblpY="1524"/>
        <w:tblOverlap w:val="never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5130"/>
        <w:gridCol w:w="135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630" w:type="dxa"/>
            <w:vMerge w:val="restart"/>
          </w:tcPr>
          <w:p>
            <w:pPr>
              <w:ind w:firstLine="1120" w:firstLineChars="4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A</w:t>
            </w:r>
          </w:p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类</w:t>
            </w:r>
          </w:p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赛</w:t>
            </w:r>
          </w:p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事</w:t>
            </w:r>
          </w:p>
        </w:tc>
        <w:tc>
          <w:tcPr>
            <w:tcW w:w="513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全国大学生电子设计大赛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全国大学生智能汽车竞赛</w:t>
            </w:r>
          </w:p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恩智浦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智能车大赛</w:t>
            </w:r>
          </w:p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中国大学生计算机设计大赛</w:t>
            </w:r>
          </w:p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中国智能机器人格斗大赛</w:t>
            </w:r>
          </w:p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两岸新锐设计竞赛“华灿奖”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西门子杯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中国智能制造挑战赛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“挑战杯”中国大学生创业计划大赛</w:t>
            </w:r>
          </w:p>
          <w:p>
            <w:pPr>
              <w:spacing w:line="220" w:lineRule="atLeas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全国大学生工程训练综合能力竞赛</w:t>
            </w:r>
          </w:p>
          <w:p>
            <w:pPr>
              <w:spacing w:line="220" w:lineRule="atLeas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全国大学生机器人大赛RoboMaster</w:t>
            </w:r>
          </w:p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中国“互联网+“大学生创新创业大赛</w:t>
            </w:r>
          </w:p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全国大学生节能减排社会实践与科技竞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赛</w:t>
            </w:r>
          </w:p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“挑战杯“全国大学生课外学术科技作品竞赛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国家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一等奖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630" w:type="dxa"/>
            <w:vMerge w:val="continue"/>
          </w:tcPr>
          <w:p>
            <w:pPr>
              <w:spacing w:line="220" w:lineRule="atLeast"/>
              <w:ind w:firstLine="1120" w:firstLineChars="4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国家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二等奖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63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firstLine="280" w:firstLineChars="1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280" w:firstLineChars="1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国家</w:t>
            </w:r>
          </w:p>
          <w:p>
            <w:pPr>
              <w:numPr>
                <w:ilvl w:val="0"/>
                <w:numId w:val="0"/>
              </w:numPr>
              <w:ind w:left="0" w:leftChars="0" w:firstLine="280" w:firstLineChars="1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等奖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630" w:type="dxa"/>
            <w:vMerge w:val="continue"/>
          </w:tcPr>
          <w:p>
            <w:pPr>
              <w:spacing w:line="220" w:lineRule="atLeast"/>
              <w:ind w:firstLine="840" w:firstLineChars="300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省级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一等奖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630" w:type="dxa"/>
            <w:vMerge w:val="continue"/>
          </w:tcPr>
          <w:p>
            <w:pPr>
              <w:spacing w:line="220" w:lineRule="atLeast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省级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二等奖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630" w:type="dxa"/>
            <w:vMerge w:val="continue"/>
          </w:tcPr>
          <w:p>
            <w:pPr>
              <w:spacing w:line="220" w:lineRule="atLeast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省级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等奖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630" w:type="dxa"/>
            <w:vMerge w:val="continue"/>
          </w:tcPr>
          <w:p>
            <w:pPr>
              <w:spacing w:line="220" w:lineRule="atLeast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优秀奖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9105" w:type="dxa"/>
            <w:gridSpan w:val="4"/>
            <w:tcBorders>
              <w:right w:val="single" w:color="auto" w:sz="4" w:space="0"/>
            </w:tcBorders>
          </w:tcPr>
          <w:p>
            <w:pPr>
              <w:spacing w:line="480" w:lineRule="auto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注：如果一个作品参加多个比赛，则就按获奖高项积分奖励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B类赛事：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其他类国家级比赛</w:t>
      </w:r>
    </w:p>
    <w:tbl>
      <w:tblPr>
        <w:tblStyle w:val="3"/>
        <w:tblpPr w:leftFromText="180" w:rightFromText="180" w:vertAnchor="text" w:horzAnchor="page" w:tblpXSpec="center" w:tblpY="132"/>
        <w:tblOverlap w:val="never"/>
        <w:tblW w:w="9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5130"/>
        <w:gridCol w:w="1416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比赛项目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奖项等级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积分奖励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5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B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类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赛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事</w:t>
            </w:r>
          </w:p>
        </w:tc>
        <w:tc>
          <w:tcPr>
            <w:tcW w:w="5130" w:type="dxa"/>
            <w:vMerge w:val="restart"/>
            <w:vAlign w:val="center"/>
          </w:tcPr>
          <w:p>
            <w:pPr>
              <w:tabs>
                <w:tab w:val="left" w:pos="360"/>
              </w:tabs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国际水中机器人大赛</w:t>
            </w:r>
          </w:p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2018中国机器人大赛</w:t>
            </w:r>
          </w:p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iCAN国际创新创业大赛</w:t>
            </w:r>
          </w:p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全国大学生集成电路大赛</w:t>
            </w:r>
          </w:p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Robocon全国大学生机器人大赛</w:t>
            </w:r>
          </w:p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RoboCom世界机器人开发者大赛</w:t>
            </w:r>
          </w:p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RoboCup机器人世界杯中国赛</w:t>
            </w:r>
          </w:p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华北五省大学生机器人大赛</w:t>
            </w:r>
          </w:p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全国移动互联创新大赛</w:t>
            </w:r>
          </w:p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中国机器人及人工智能大赛</w:t>
            </w:r>
          </w:p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中国大学生电动方程式大赛</w:t>
            </w:r>
          </w:p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中国大学生方程式汽车大赛</w:t>
            </w:r>
          </w:p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中国大学生无人驾驶方程式大赛</w:t>
            </w:r>
          </w:p>
          <w:p>
            <w:pPr>
              <w:spacing w:line="220" w:lineRule="atLeas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唐辉杯中国智能仪器仪表设计大赛</w:t>
            </w:r>
          </w:p>
          <w:p>
            <w:pPr>
              <w:spacing w:line="220" w:lineRule="atLeast"/>
              <w:ind w:firstLine="280" w:firstLineChars="1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蓝桥杯全国软件和信息技术专业人才赛</w:t>
            </w:r>
          </w:p>
          <w:p>
            <w:pPr>
              <w:spacing w:line="220" w:lineRule="atLeas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“赛佰特杯”全国大学生</w:t>
            </w:r>
          </w:p>
          <w:p>
            <w:pPr>
              <w:spacing w:line="220" w:lineRule="atLeas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智能互联创新应用设计大赛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国家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一等奖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5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30" w:type="dxa"/>
            <w:vMerge w:val="continue"/>
            <w:vAlign w:val="center"/>
          </w:tcPr>
          <w:p>
            <w:pPr>
              <w:spacing w:line="220" w:lineRule="atLeas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国家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二等奖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5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30" w:type="dxa"/>
            <w:vMerge w:val="continue"/>
            <w:vAlign w:val="center"/>
          </w:tcPr>
          <w:p>
            <w:pPr>
              <w:spacing w:line="220" w:lineRule="atLeas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280" w:firstLineChars="1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国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家</w:t>
            </w:r>
          </w:p>
          <w:p>
            <w:pPr>
              <w:numPr>
                <w:ilvl w:val="0"/>
                <w:numId w:val="0"/>
              </w:numPr>
              <w:ind w:firstLine="280" w:firstLineChars="1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等奖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5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30" w:type="dxa"/>
            <w:vMerge w:val="continue"/>
            <w:vAlign w:val="center"/>
          </w:tcPr>
          <w:p>
            <w:pPr>
              <w:spacing w:line="220" w:lineRule="atLeas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省级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一等奖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570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5130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省级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二等奖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5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3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省级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等奖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5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51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优秀奖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61" w:type="dxa"/>
            <w:gridSpan w:val="4"/>
            <w:vAlign w:val="center"/>
          </w:tcPr>
          <w:p>
            <w:pPr>
              <w:tabs>
                <w:tab w:val="left" w:pos="2231"/>
              </w:tabs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注：如果一个作品参加多个比赛，则就按获奖高项积分奖励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spacing w:line="220" w:lineRule="atLeast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spacing w:line="220" w:lineRule="atLeast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spacing w:line="220" w:lineRule="atLeast"/>
        <w:ind w:firstLine="643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C类赛事：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院级比赛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  <w:t>四阶段培养赛事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  <w:t>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3568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35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比赛项目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奖项等级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积分奖励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C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类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赛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事</w:t>
            </w:r>
          </w:p>
        </w:tc>
        <w:tc>
          <w:tcPr>
            <w:tcW w:w="35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启辰杯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300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200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35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启航杯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35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破浪杯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35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星耀杯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注：原则上仅大一新生可参加C类赛事</w:t>
            </w:r>
          </w:p>
        </w:tc>
      </w:tr>
    </w:tbl>
    <w:p>
      <w:pPr>
        <w:jc w:val="center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C1B33E"/>
    <w:multiLevelType w:val="singleLevel"/>
    <w:tmpl w:val="C0C1B33E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A1F88"/>
    <w:rsid w:val="16DB6AA7"/>
    <w:rsid w:val="19D23E3B"/>
    <w:rsid w:val="1F2F378E"/>
    <w:rsid w:val="364A1F88"/>
    <w:rsid w:val="3EA6037B"/>
    <w:rsid w:val="669B200A"/>
    <w:rsid w:val="6DFA33F6"/>
    <w:rsid w:val="752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2018-04-18T02:12:00Z</dcterms:created>
  <dc:creator>13199277881手机用户</dc:creator>
  <cp:lastModifiedBy>溪溪咪</cp:lastModifiedBy>
  <dcterms:modified xsi:type="dcterms:W3CDTF">2020-03-19T02:49:26Z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